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B5">
        <w:rPr>
          <w:rFonts w:ascii="Times New Roman" w:hAnsi="Times New Roman" w:cs="Times New Roman"/>
          <w:sz w:val="24"/>
          <w:szCs w:val="24"/>
        </w:rPr>
        <w:t xml:space="preserve">от </w:t>
      </w:r>
      <w:r w:rsidR="00DD5766">
        <w:rPr>
          <w:rFonts w:ascii="Times New Roman" w:hAnsi="Times New Roman" w:cs="Times New Roman"/>
          <w:sz w:val="24"/>
          <w:szCs w:val="24"/>
        </w:rPr>
        <w:t>17</w:t>
      </w:r>
      <w:r w:rsidR="00314A4E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DD5766">
        <w:rPr>
          <w:rFonts w:ascii="Times New Roman" w:hAnsi="Times New Roman" w:cs="Times New Roman"/>
          <w:sz w:val="24"/>
          <w:szCs w:val="24"/>
        </w:rPr>
        <w:t>ноя</w:t>
      </w:r>
      <w:r w:rsidR="00C95312" w:rsidRPr="00EB5DB5">
        <w:rPr>
          <w:rFonts w:ascii="Times New Roman" w:hAnsi="Times New Roman" w:cs="Times New Roman"/>
          <w:sz w:val="24"/>
          <w:szCs w:val="24"/>
        </w:rPr>
        <w:t>бря</w:t>
      </w:r>
      <w:r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937DC4" w:rsidRPr="00EB5DB5">
        <w:rPr>
          <w:rFonts w:ascii="Times New Roman" w:hAnsi="Times New Roman" w:cs="Times New Roman"/>
          <w:sz w:val="24"/>
          <w:szCs w:val="24"/>
        </w:rPr>
        <w:t>202</w:t>
      </w:r>
      <w:r w:rsidR="001105E2">
        <w:rPr>
          <w:rFonts w:ascii="Times New Roman" w:hAnsi="Times New Roman" w:cs="Times New Roman"/>
          <w:sz w:val="24"/>
          <w:szCs w:val="24"/>
        </w:rPr>
        <w:t>5</w:t>
      </w:r>
      <w:r w:rsidR="007F3A36" w:rsidRPr="00EB5DB5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EB5D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  № </w:t>
      </w:r>
      <w:r w:rsidR="00EB5DB5" w:rsidRPr="00DD5766">
        <w:rPr>
          <w:rFonts w:ascii="Times New Roman" w:hAnsi="Times New Roman" w:cs="Times New Roman"/>
          <w:sz w:val="24"/>
          <w:szCs w:val="24"/>
        </w:rPr>
        <w:t>4</w:t>
      </w:r>
      <w:r w:rsidR="00DD5766" w:rsidRPr="00DD5766">
        <w:rPr>
          <w:rFonts w:ascii="Times New Roman" w:hAnsi="Times New Roman" w:cs="Times New Roman"/>
          <w:sz w:val="24"/>
          <w:szCs w:val="24"/>
        </w:rPr>
        <w:t>1</w:t>
      </w:r>
      <w:r w:rsidR="00EB5DB5">
        <w:rPr>
          <w:rFonts w:ascii="Times New Roman" w:hAnsi="Times New Roman" w:cs="Times New Roman"/>
          <w:sz w:val="24"/>
          <w:szCs w:val="24"/>
        </w:rPr>
        <w:t xml:space="preserve"> 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C95312">
        <w:rPr>
          <w:bCs/>
        </w:rPr>
        <w:t xml:space="preserve"> на 202</w:t>
      </w:r>
      <w:r w:rsidR="001105E2">
        <w:rPr>
          <w:bCs/>
        </w:rPr>
        <w:t>6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312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1105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C95312" w:rsidP="00B44B06">
      <w:pPr>
        <w:pStyle w:val="2"/>
        <w:jc w:val="right"/>
        <w:rPr>
          <w:sz w:val="20"/>
        </w:rPr>
      </w:pPr>
      <w:r w:rsidRPr="00EB5DB5">
        <w:rPr>
          <w:sz w:val="20"/>
        </w:rPr>
        <w:t xml:space="preserve">от   </w:t>
      </w:r>
      <w:r w:rsidR="00DD5766">
        <w:rPr>
          <w:sz w:val="20"/>
        </w:rPr>
        <w:t>17.11</w:t>
      </w:r>
      <w:r w:rsidR="006603DA" w:rsidRPr="00EB5DB5">
        <w:rPr>
          <w:sz w:val="20"/>
        </w:rPr>
        <w:t>.202</w:t>
      </w:r>
      <w:r w:rsidR="001105E2">
        <w:rPr>
          <w:sz w:val="20"/>
        </w:rPr>
        <w:t>5</w:t>
      </w:r>
      <w:r w:rsidR="00683DC2" w:rsidRPr="00EB5DB5">
        <w:rPr>
          <w:sz w:val="20"/>
        </w:rPr>
        <w:t xml:space="preserve"> г.</w:t>
      </w:r>
      <w:r w:rsidR="001F5339" w:rsidRPr="00EB5DB5">
        <w:rPr>
          <w:sz w:val="20"/>
        </w:rPr>
        <w:t xml:space="preserve"> </w:t>
      </w:r>
      <w:r w:rsidR="001F5339" w:rsidRPr="00DD5766">
        <w:rPr>
          <w:sz w:val="20"/>
        </w:rPr>
        <w:t xml:space="preserve">№ </w:t>
      </w:r>
      <w:r w:rsidR="00DD5766" w:rsidRPr="00DD5766">
        <w:rPr>
          <w:sz w:val="20"/>
        </w:rPr>
        <w:t>4</w:t>
      </w:r>
      <w:r w:rsidR="00DD5766">
        <w:rPr>
          <w:sz w:val="20"/>
        </w:rPr>
        <w:t>1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C95312">
        <w:rPr>
          <w:b/>
          <w:sz w:val="24"/>
          <w:szCs w:val="24"/>
        </w:rPr>
        <w:t>на 202</w:t>
      </w:r>
      <w:r w:rsidR="001105E2">
        <w:rPr>
          <w:b/>
          <w:sz w:val="24"/>
          <w:szCs w:val="24"/>
        </w:rPr>
        <w:t>6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774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2714BB">
              <w:rPr>
                <w:rFonts w:ascii="Times New Roman" w:hAnsi="Times New Roman"/>
                <w:sz w:val="24"/>
                <w:szCs w:val="24"/>
              </w:rPr>
              <w:t>сельского поселения на 202</w:t>
            </w:r>
            <w:r w:rsidR="007743E6">
              <w:rPr>
                <w:rFonts w:ascii="Times New Roman" w:hAnsi="Times New Roman"/>
                <w:sz w:val="24"/>
                <w:szCs w:val="24"/>
              </w:rPr>
              <w:t>6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C95312" w:rsidP="00110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6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C95312">
        <w:rPr>
          <w:rFonts w:ascii="Times New Roman" w:hAnsi="Times New Roman"/>
          <w:sz w:val="24"/>
          <w:szCs w:val="24"/>
        </w:rPr>
        <w:t>201</w:t>
      </w:r>
      <w:r w:rsidR="001105E2">
        <w:rPr>
          <w:rFonts w:ascii="Times New Roman" w:hAnsi="Times New Roman"/>
          <w:sz w:val="24"/>
          <w:szCs w:val="24"/>
        </w:rPr>
        <w:t>8</w:t>
      </w:r>
      <w:r w:rsidR="00C95312">
        <w:rPr>
          <w:rFonts w:ascii="Times New Roman" w:hAnsi="Times New Roman"/>
          <w:sz w:val="24"/>
          <w:szCs w:val="24"/>
        </w:rPr>
        <w:t>-202</w:t>
      </w:r>
      <w:r w:rsidR="001105E2">
        <w:rPr>
          <w:rFonts w:ascii="Times New Roman" w:hAnsi="Times New Roman"/>
          <w:sz w:val="24"/>
          <w:szCs w:val="24"/>
        </w:rPr>
        <w:t>5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735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9"/>
        <w:gridCol w:w="708"/>
        <w:gridCol w:w="709"/>
        <w:gridCol w:w="709"/>
        <w:gridCol w:w="850"/>
        <w:gridCol w:w="709"/>
        <w:gridCol w:w="851"/>
        <w:gridCol w:w="790"/>
        <w:gridCol w:w="790"/>
      </w:tblGrid>
      <w:tr w:rsidR="0041009F" w:rsidRPr="007F49D5" w:rsidTr="0041009F">
        <w:trPr>
          <w:trHeight w:val="281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</w:t>
            </w:r>
            <w:r w:rsidR="001105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</w:t>
            </w:r>
            <w:r w:rsidR="001105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</w:t>
            </w:r>
            <w:r w:rsidR="001105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Pr="007F49D5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1105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105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F31A4D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F31A4D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C95312">
        <w:rPr>
          <w:rFonts w:ascii="Times New Roman" w:hAnsi="Times New Roman"/>
          <w:sz w:val="24"/>
          <w:szCs w:val="24"/>
        </w:rPr>
        <w:t>в 202</w:t>
      </w:r>
      <w:r w:rsidR="001105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C95312">
        <w:rPr>
          <w:rFonts w:ascii="Times New Roman" w:hAnsi="Times New Roman" w:cs="Times New Roman"/>
          <w:sz w:val="24"/>
          <w:szCs w:val="24"/>
        </w:rPr>
        <w:t>о профилактике нарушений на 202</w:t>
      </w:r>
      <w:r w:rsidR="001105E2">
        <w:rPr>
          <w:rFonts w:ascii="Times New Roman" w:hAnsi="Times New Roman" w:cs="Times New Roman"/>
          <w:sz w:val="24"/>
          <w:szCs w:val="24"/>
        </w:rPr>
        <w:t>6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41009F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95312">
        <w:rPr>
          <w:sz w:val="24"/>
          <w:szCs w:val="24"/>
        </w:rPr>
        <w:t>филактике правонарушений на 202</w:t>
      </w:r>
      <w:r w:rsidR="001105E2">
        <w:rPr>
          <w:sz w:val="24"/>
          <w:szCs w:val="24"/>
        </w:rPr>
        <w:t>7</w:t>
      </w:r>
      <w:r w:rsidR="00C95312">
        <w:rPr>
          <w:sz w:val="24"/>
          <w:szCs w:val="24"/>
        </w:rPr>
        <w:t>-202</w:t>
      </w:r>
      <w:r w:rsidR="001105E2">
        <w:rPr>
          <w:sz w:val="24"/>
          <w:szCs w:val="24"/>
        </w:rPr>
        <w:t>8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527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41009F">
        <w:tc>
          <w:tcPr>
            <w:tcW w:w="53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95312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1105E2">
              <w:rPr>
                <w:sz w:val="24"/>
                <w:szCs w:val="24"/>
              </w:rPr>
              <w:t>7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95312" w:rsidP="001105E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1105E2">
              <w:rPr>
                <w:sz w:val="24"/>
                <w:szCs w:val="24"/>
              </w:rPr>
              <w:t>8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95312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</w:t>
      </w:r>
      <w:r w:rsidR="001105E2">
        <w:rPr>
          <w:rFonts w:ascii="Times New Roman" w:hAnsi="Times New Roman" w:cs="Times New Roman"/>
          <w:sz w:val="24"/>
          <w:szCs w:val="24"/>
        </w:rPr>
        <w:t>6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8" w:type="dxa"/>
        <w:tblInd w:w="-418" w:type="dxa"/>
        <w:tblCellMar>
          <w:left w:w="0" w:type="dxa"/>
          <w:right w:w="0" w:type="dxa"/>
        </w:tblCellMar>
        <w:tblLook w:val="0000"/>
      </w:tblPr>
      <w:tblGrid>
        <w:gridCol w:w="7655"/>
        <w:gridCol w:w="2573"/>
      </w:tblGrid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95312">
        <w:rPr>
          <w:rFonts w:ascii="Times New Roman" w:hAnsi="Times New Roman" w:cs="Times New Roman"/>
          <w:sz w:val="24"/>
          <w:szCs w:val="24"/>
        </w:rPr>
        <w:t>ект отчетных показателей на 202</w:t>
      </w:r>
      <w:r w:rsidR="001105E2">
        <w:rPr>
          <w:rFonts w:ascii="Times New Roman" w:hAnsi="Times New Roman" w:cs="Times New Roman"/>
          <w:sz w:val="24"/>
          <w:szCs w:val="24"/>
        </w:rPr>
        <w:t>7</w:t>
      </w:r>
      <w:r w:rsidR="00C95312">
        <w:rPr>
          <w:rFonts w:ascii="Times New Roman" w:hAnsi="Times New Roman" w:cs="Times New Roman"/>
          <w:sz w:val="24"/>
          <w:szCs w:val="24"/>
        </w:rPr>
        <w:t xml:space="preserve"> и 202</w:t>
      </w:r>
      <w:r w:rsidR="001105E2">
        <w:rPr>
          <w:rFonts w:ascii="Times New Roman" w:hAnsi="Times New Roman" w:cs="Times New Roman"/>
          <w:sz w:val="24"/>
          <w:szCs w:val="24"/>
        </w:rPr>
        <w:t>8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105E2"/>
    <w:rsid w:val="00165043"/>
    <w:rsid w:val="001A71DD"/>
    <w:rsid w:val="001E450F"/>
    <w:rsid w:val="001F5339"/>
    <w:rsid w:val="001F6AA7"/>
    <w:rsid w:val="00204325"/>
    <w:rsid w:val="00212B2E"/>
    <w:rsid w:val="002714BB"/>
    <w:rsid w:val="00280230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387596"/>
    <w:rsid w:val="0041009F"/>
    <w:rsid w:val="00452769"/>
    <w:rsid w:val="004A1F31"/>
    <w:rsid w:val="004B03FB"/>
    <w:rsid w:val="004E3C97"/>
    <w:rsid w:val="00503C23"/>
    <w:rsid w:val="00510E2F"/>
    <w:rsid w:val="005378B7"/>
    <w:rsid w:val="00564F74"/>
    <w:rsid w:val="005D0597"/>
    <w:rsid w:val="005E4841"/>
    <w:rsid w:val="005E49FC"/>
    <w:rsid w:val="006231DB"/>
    <w:rsid w:val="00635003"/>
    <w:rsid w:val="00653615"/>
    <w:rsid w:val="006603DA"/>
    <w:rsid w:val="00683DC2"/>
    <w:rsid w:val="00687A28"/>
    <w:rsid w:val="006E4BA1"/>
    <w:rsid w:val="006F7B6C"/>
    <w:rsid w:val="007226ED"/>
    <w:rsid w:val="00727906"/>
    <w:rsid w:val="00737BC3"/>
    <w:rsid w:val="00745079"/>
    <w:rsid w:val="007743E6"/>
    <w:rsid w:val="00790F88"/>
    <w:rsid w:val="00795A82"/>
    <w:rsid w:val="007A283E"/>
    <w:rsid w:val="007C1E50"/>
    <w:rsid w:val="007E714B"/>
    <w:rsid w:val="007F3A36"/>
    <w:rsid w:val="007F49D5"/>
    <w:rsid w:val="00814903"/>
    <w:rsid w:val="00815150"/>
    <w:rsid w:val="0081574A"/>
    <w:rsid w:val="00816367"/>
    <w:rsid w:val="00832928"/>
    <w:rsid w:val="008B20E9"/>
    <w:rsid w:val="00935E36"/>
    <w:rsid w:val="00937DC4"/>
    <w:rsid w:val="00976FEA"/>
    <w:rsid w:val="009817CA"/>
    <w:rsid w:val="009D21A9"/>
    <w:rsid w:val="009D73EA"/>
    <w:rsid w:val="00A24605"/>
    <w:rsid w:val="00A53064"/>
    <w:rsid w:val="00A55A80"/>
    <w:rsid w:val="00A91D6A"/>
    <w:rsid w:val="00AA1849"/>
    <w:rsid w:val="00AC27A7"/>
    <w:rsid w:val="00B074BE"/>
    <w:rsid w:val="00B44B06"/>
    <w:rsid w:val="00B82933"/>
    <w:rsid w:val="00BB745D"/>
    <w:rsid w:val="00BF682C"/>
    <w:rsid w:val="00C2160C"/>
    <w:rsid w:val="00C31AC5"/>
    <w:rsid w:val="00C9252A"/>
    <w:rsid w:val="00C95312"/>
    <w:rsid w:val="00CC200A"/>
    <w:rsid w:val="00CC3111"/>
    <w:rsid w:val="00CD398D"/>
    <w:rsid w:val="00CF7563"/>
    <w:rsid w:val="00D5074C"/>
    <w:rsid w:val="00D74992"/>
    <w:rsid w:val="00D8061B"/>
    <w:rsid w:val="00DA52C1"/>
    <w:rsid w:val="00DD5766"/>
    <w:rsid w:val="00DF0DBB"/>
    <w:rsid w:val="00E33593"/>
    <w:rsid w:val="00E559D7"/>
    <w:rsid w:val="00E80B4E"/>
    <w:rsid w:val="00E8428E"/>
    <w:rsid w:val="00EB5DB5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14B8D-5B33-45B3-84C0-00DD7E42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2032</Words>
  <Characters>11588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/</vt:lpstr>
      <vt:lpstr>    Глава Туксинского </vt:lpstr>
      <vt:lpstr>    сельского поселения		                                                           </vt:lpstr>
      <vt:lpstr>    Приложение </vt:lpstr>
      <vt:lpstr>    к Постановлению администрации</vt:lpstr>
      <vt:lpstr>    Туксинского сельского поселения</vt:lpstr>
      <vt:lpstr>    от   06.12.2024 г. № 47/1</vt:lpstr>
      <vt:lpstr>    </vt:lpstr>
      <vt:lpstr>    ПРОГРАММА</vt:lpstr>
      <vt:lpstr>    профилактики  нарушений обязательных требований законодательства в сфере муницип</vt:lpstr>
      <vt:lpstr>    Виды муниципального контроля, осуществляемого администрацией Туксинского сельско</vt:lpstr>
      <vt:lpstr>    Объектами профилактических мероприятий при осуществлении      муниципального кон</vt:lpstr>
      <vt:lpstr>    </vt:lpstr>
      <vt:lpstr>    3.2.	Проект плана мероприятий по профилактике правонарушений на 2026-2027 годы.</vt:lpstr>
    </vt:vector>
  </TitlesOfParts>
  <Company>Microsoft</Company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102</cp:revision>
  <cp:lastPrinted>2018-05-11T12:15:00Z</cp:lastPrinted>
  <dcterms:created xsi:type="dcterms:W3CDTF">2019-03-12T09:52:00Z</dcterms:created>
  <dcterms:modified xsi:type="dcterms:W3CDTF">2025-12-10T12:18:00Z</dcterms:modified>
</cp:coreProperties>
</file>