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Трихинеллез – это природно-очаговое заболевание, возбудителем которого являются мелкие личинки, паразитирующие в мышечной ткани зараженного. Трихинеллез является общим заболеванием для большинства плотоядных животных, некоторых видов птиц, а также для человека.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Ветеринарное законодательство Российской Федерации регулирует отношения в области ветеринарии в целях защиты животных от болезней, выпуска безопасных в ветеринарном отношении продуктов животноводства и защиты населения от болезней, общих для человека и животных.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В целях профилактики, предотвращения распространения и ликвидации очагов трихинеллеза приказом Минсельхоза России от 26.03.2020 № 154 утверждены Ветеринарные правила борьбы с трихинеллезом (далее – Правила), которые начали действовать на всей территории страны с 8 мая 2020 года.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Правилами на владельцев свиней, плотоядных животных, лошадей, а также грызунов (далее – восприимчивые животных) возлагаются требования профилактического характера, </w:t>
      </w:r>
      <w:proofErr w:type="gramStart"/>
      <w:r w:rsidRPr="009F1C31">
        <w:rPr>
          <w:rFonts w:ascii="Times New Roman" w:hAnsi="Times New Roman"/>
          <w:sz w:val="24"/>
          <w:szCs w:val="24"/>
        </w:rPr>
        <w:t>обязательные к исполнению</w:t>
      </w:r>
      <w:proofErr w:type="gramEnd"/>
      <w:r w:rsidRPr="009F1C31">
        <w:rPr>
          <w:rFonts w:ascii="Times New Roman" w:hAnsi="Times New Roman"/>
          <w:sz w:val="24"/>
          <w:szCs w:val="24"/>
        </w:rPr>
        <w:t xml:space="preserve"> в случае содержания восприимчивых животных. К таким требованиям относятся требования по дератизации помещений и выгульных площадок; недопущения загрязнения окружающей среды отходами животноводства; исключения контакта животных с подозрением на заражение от здоровых особей и другие.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Также владельцы восприимчивых животных 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C31">
        <w:rPr>
          <w:rFonts w:ascii="Times New Roman" w:hAnsi="Times New Roman"/>
          <w:sz w:val="24"/>
          <w:szCs w:val="24"/>
        </w:rPr>
        <w:t>в течение 24 часов извещать специалистов Государственной ветеринарной службой Российской Федерации обо всех случаях заболевания или гибели восприимчивых животных, а также об изменениях в их поведении, указывающих на возможное заболевание.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Правилами также утвержден порядок установления карантина, ограничительных и иных мер, направленных на ликвидацию очага трихинеллеза и предотвращение его распространения.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Контроль за соблюдение Правил осуществляется Государственной ветеринарной службой Российской Федерации.</w:t>
      </w:r>
    </w:p>
    <w:p w:rsidR="002330B4" w:rsidRPr="009F1C31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Должностные лица Государственной ветеринарной службы Российской Федерации в случае установления фактов нарушения Правил уполномочены составлять протоколы об административных правонарушениях, предусмотренных статьями 10.3, 10.6, 10.8 Кодекса Российской Федерации об административных правонарушениях.</w:t>
      </w:r>
    </w:p>
    <w:p w:rsidR="002330B4" w:rsidRDefault="002330B4" w:rsidP="00233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В случае грубого нарушения Правил при рассмотрении административных дел по ст. 10.3, 10.6 </w:t>
      </w:r>
      <w:proofErr w:type="spellStart"/>
      <w:r w:rsidRPr="009F1C31">
        <w:rPr>
          <w:rFonts w:ascii="Times New Roman" w:hAnsi="Times New Roman"/>
          <w:sz w:val="24"/>
          <w:szCs w:val="24"/>
        </w:rPr>
        <w:t>КоАП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РФ суд может назначить виновному лицу наказание в виде штрафа, либо административного приостановления деятельности на срок до 90 суток.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30B4"/>
    <w:rsid w:val="00066D75"/>
    <w:rsid w:val="002330B4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2020-06-29T13:35:00Z</dcterms:created>
  <dcterms:modified xsi:type="dcterms:W3CDTF">2020-06-29T13:35:00Z</dcterms:modified>
</cp:coreProperties>
</file>